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Colegiul Național de Agricultură și Economie Tecuci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jc w:val="both"/>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jc w:val="both"/>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jc w:val="both"/>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jc w:val="both"/>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jc w:val="both"/>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jc w:val="both"/>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jc w:val="both"/>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 coordonează activitatea din internat și de la cantină;</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4">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5">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7">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8">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9">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A">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B">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E">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C">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RSi/hd22gIbnU9gj47XcHiQ4eYw==">CgMxLjA4AHIhMThZa2RnSExzdE56NmpfQUg3c1VjbGFmUGVDX1ZwcVlt</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